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200" w:after="120"/>
        <w:jc w:val="center"/>
        <w:textAlignment w:val="baseline"/>
        <w:outlineLvl w:val="1"/>
        <w:rPr>
          <w:rFonts w:eastAsia="NSimSun" w:cs="Mangal"/>
          <w:b/>
          <w:b/>
          <w:bCs/>
          <w:kern w:val="2"/>
          <w:lang w:eastAsia="zh-CN" w:bidi="hi-IN"/>
        </w:rPr>
      </w:pPr>
      <w:bookmarkStart w:id="0" w:name="__DdeLink__372_627668160"/>
      <w:r>
        <w:rPr>
          <w:rFonts w:eastAsia="NSimSun" w:cs="Mangal"/>
          <w:b/>
          <w:bCs/>
          <w:kern w:val="2"/>
          <w:lang w:eastAsia="zh-CN" w:bidi="hi-IN"/>
        </w:rPr>
        <w:t>Zasady  rejestracji pacjentów  do  poradni  specjalistycznych.</w:t>
      </w:r>
    </w:p>
    <w:p>
      <w:pPr>
        <w:pStyle w:val="Normal"/>
        <w:suppressAutoHyphens w:val="true"/>
        <w:spacing w:lineRule="auto" w:line="288" w:before="0" w:after="140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both"/>
        <w:textAlignment w:val="baseline"/>
        <w:rPr>
          <w:rFonts w:eastAsia="SimSun" w:cs="Mangal"/>
          <w:kern w:val="2"/>
          <w:lang w:val="en-US" w:eastAsia="zh-CN" w:bidi="hi-IN"/>
        </w:rPr>
      </w:pPr>
      <w:r>
        <w:rPr>
          <w:rFonts w:eastAsia="SimSun" w:cs="Mangal"/>
          <w:b/>
          <w:bCs/>
          <w:kern w:val="2"/>
          <w:lang w:val="en-US" w:eastAsia="zh-CN" w:bidi="hi-IN"/>
        </w:rPr>
        <w:t>1. Ogólne zasady rejestracji.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 w:before="0" w:after="0"/>
        <w:ind w:left="357" w:hanging="0"/>
        <w:jc w:val="both"/>
        <w:textAlignment w:val="baseline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Rejestracja pacjentów odbywa się codziennie od poniedziałku do  piątku w </w:t>
      </w:r>
      <w:r>
        <w:rPr>
          <w:rFonts w:eastAsia="SimSun" w:cs="Mangal"/>
          <w:color w:val="000000" w:themeColor="text1"/>
          <w:kern w:val="2"/>
          <w:lang w:eastAsia="zh-CN" w:bidi="hi-IN"/>
        </w:rPr>
        <w:t>godzinach   7.00 – 17.45.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 w:before="0" w:after="0"/>
        <w:ind w:left="357" w:hanging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Pacjent może zarejestrować się osobiście, telefonicznie, za pośrednictwem upoważnionej osoby trzeciej, lub elektronicznie za pośrednictwem poczty e-mail.</w:t>
      </w:r>
    </w:p>
    <w:p>
      <w:pPr>
        <w:pStyle w:val="Normal"/>
        <w:suppressAutoHyphens w:val="true"/>
        <w:spacing w:lineRule="auto" w:line="288" w:before="0" w:after="0"/>
        <w:ind w:left="357" w:hanging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both"/>
        <w:textAlignment w:val="baseline"/>
        <w:rPr>
          <w:rFonts w:eastAsia="SimSun" w:cs="Mangal"/>
          <w:kern w:val="2"/>
          <w:lang w:val="en-US" w:eastAsia="zh-CN" w:bidi="hi-IN"/>
        </w:rPr>
      </w:pPr>
      <w:r>
        <w:rPr>
          <w:rFonts w:eastAsia="SimSun" w:cs="Mangal"/>
          <w:b/>
          <w:bCs/>
          <w:kern w:val="2"/>
          <w:lang w:val="en-US" w:eastAsia="zh-CN" w:bidi="hi-IN"/>
        </w:rPr>
        <w:t>2. Wymagane dokumenty: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ind w:left="357" w:hanging="0"/>
        <w:jc w:val="both"/>
        <w:textAlignment w:val="baseline"/>
        <w:rPr>
          <w:rFonts w:eastAsia="SimSun" w:cs="Mangal"/>
          <w:kern w:val="2"/>
          <w:lang w:val="en-US" w:eastAsia="zh-CN" w:bidi="hi-IN"/>
        </w:rPr>
      </w:pPr>
      <w:r>
        <w:rPr>
          <w:rFonts w:eastAsia="SimSun" w:cs="Mangal"/>
          <w:kern w:val="2"/>
          <w:lang w:val="en-US" w:eastAsia="zh-CN" w:bidi="hi-IN"/>
        </w:rPr>
        <w:t>Dowód tożsamości,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88" w:before="0" w:after="0"/>
        <w:ind w:left="357" w:hanging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>Stosowny  dokument  potwierdzający przywileje i uprawnienia pacjenta  (w sytuacji kiedy bedzie miał zastosowanie),</w:t>
      </w:r>
    </w:p>
    <w:p>
      <w:pPr>
        <w:pStyle w:val="Normal"/>
        <w:numPr>
          <w:ilvl w:val="0"/>
          <w:numId w:val="2"/>
        </w:numPr>
        <w:spacing w:before="0" w:after="0"/>
        <w:ind w:left="357" w:hanging="0"/>
        <w:jc w:val="both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>Skierowanie wystawione przez lekarza ubezpieczenia zdrowotnego (pracującego w ramach umowy z NFZ) do poradni, do których jest ono  wymagane.</w:t>
      </w:r>
    </w:p>
    <w:p>
      <w:pPr>
        <w:pStyle w:val="Normal"/>
        <w:spacing w:before="0" w:after="0"/>
        <w:ind w:left="360" w:hanging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jc w:val="both"/>
        <w:rPr>
          <w:color w:val="000000" w:themeColor="text1"/>
        </w:rPr>
      </w:pPr>
      <w:r>
        <w:rPr>
          <w:rFonts w:eastAsia="SimSun" w:cs="Mangal"/>
          <w:b/>
          <w:color w:val="000000" w:themeColor="text1"/>
          <w:kern w:val="2"/>
          <w:lang w:eastAsia="zh-CN" w:bidi="hi-IN"/>
        </w:rPr>
        <w:t>3</w:t>
      </w:r>
      <w:r>
        <w:rPr>
          <w:rFonts w:eastAsia="SimSun" w:cs="Mangal"/>
          <w:color w:val="000000" w:themeColor="text1"/>
          <w:kern w:val="2"/>
          <w:lang w:eastAsia="zh-CN" w:bidi="hi-IN"/>
        </w:rPr>
        <w:t xml:space="preserve">. </w:t>
      </w:r>
      <w:r>
        <w:rPr>
          <w:rFonts w:eastAsia="SimSun" w:cs="Mangal"/>
          <w:b/>
          <w:color w:val="000000" w:themeColor="text1"/>
          <w:kern w:val="2"/>
          <w:lang w:eastAsia="zh-CN" w:bidi="hi-IN"/>
        </w:rPr>
        <w:t>Wymóg posiadania skierowania do poradni specjalistycznych</w:t>
      </w:r>
      <w:r>
        <w:rPr>
          <w:rFonts w:eastAsia="SimSun" w:cs="Mangal"/>
          <w:color w:val="000000" w:themeColor="text1"/>
          <w:kern w:val="2"/>
          <w:lang w:eastAsia="zh-CN" w:bidi="hi-IN"/>
        </w:rPr>
        <w:t>. Do poradni specjalistycznych  obowiązuje  skierowanie od lekarza ubezpieczenia zdrowotnego z zastrzeżeniem  jak w pkt 4.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b/>
          <w:b/>
          <w:bCs/>
          <w:color w:val="FF3333"/>
          <w:kern w:val="2"/>
          <w:lang w:eastAsia="zh-CN" w:bidi="hi-IN"/>
        </w:rPr>
      </w:pPr>
      <w:r>
        <w:rPr>
          <w:rFonts w:eastAsia="SimSun" w:cs="Mangal"/>
          <w:b/>
          <w:bCs/>
          <w:color w:val="FF3333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b/>
          <w:bCs/>
          <w:color w:val="000000" w:themeColor="text1"/>
          <w:kern w:val="2"/>
          <w:lang w:eastAsia="zh-CN" w:bidi="hi-IN"/>
        </w:rPr>
        <w:t>4.</w:t>
      </w:r>
      <w:r>
        <w:rPr>
          <w:rFonts w:eastAsia="SimSun" w:cs="Mangal"/>
          <w:bCs/>
          <w:color w:val="000000" w:themeColor="text1"/>
          <w:kern w:val="2"/>
          <w:lang w:eastAsia="zh-CN" w:bidi="hi-IN"/>
        </w:rPr>
        <w:t xml:space="preserve"> </w:t>
      </w:r>
      <w:r>
        <w:rPr>
          <w:rFonts w:eastAsia="SimSun" w:cs="Mangal"/>
          <w:b/>
          <w:bCs/>
          <w:color w:val="000000" w:themeColor="text1"/>
          <w:kern w:val="2"/>
          <w:lang w:eastAsia="zh-CN" w:bidi="hi-IN"/>
        </w:rPr>
        <w:t>Brak wymogu posiadania skierowania do poradni specjalistycznych.</w:t>
      </w:r>
      <w:r>
        <w:rPr>
          <w:rFonts w:eastAsia="SimSun" w:cs="Mangal"/>
          <w:bCs/>
          <w:color w:val="000000" w:themeColor="text1"/>
          <w:kern w:val="2"/>
          <w:lang w:eastAsia="zh-CN" w:bidi="hi-IN"/>
        </w:rPr>
        <w:t xml:space="preserve"> Skierowanie nie jest wymagane do następujących poradni funkcjonujących w naszym zakładzie:</w:t>
      </w:r>
    </w:p>
    <w:p>
      <w:pPr>
        <w:pStyle w:val="Normal"/>
        <w:numPr>
          <w:ilvl w:val="0"/>
          <w:numId w:val="3"/>
        </w:numPr>
        <w:spacing w:before="0" w:after="0"/>
        <w:ind w:left="714" w:hanging="357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val="en-US" w:eastAsia="zh-CN" w:bidi="hi-IN"/>
        </w:rPr>
        <w:t>ginekologiczno -położniczej,</w:t>
      </w:r>
    </w:p>
    <w:p>
      <w:pPr>
        <w:pStyle w:val="Normal"/>
        <w:numPr>
          <w:ilvl w:val="0"/>
          <w:numId w:val="3"/>
        </w:numPr>
        <w:spacing w:before="0" w:after="0"/>
        <w:ind w:left="714" w:hanging="357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val="en-US" w:eastAsia="zh-CN" w:bidi="hi-IN"/>
        </w:rPr>
        <w:t xml:space="preserve">zdrowia psychicznego, </w:t>
      </w:r>
    </w:p>
    <w:p>
      <w:pPr>
        <w:pStyle w:val="Normal"/>
        <w:spacing w:before="0" w:after="140"/>
        <w:ind w:left="720" w:hanging="0"/>
        <w:rPr>
          <w:color w:val="FF3333"/>
        </w:rPr>
      </w:pPr>
      <w:r>
        <w:rPr>
          <w:color w:val="FF3333"/>
        </w:rPr>
      </w:r>
    </w:p>
    <w:p>
      <w:pPr>
        <w:pStyle w:val="Normal"/>
        <w:spacing w:before="0" w:after="140"/>
        <w:rPr>
          <w:color w:val="000000" w:themeColor="text1"/>
        </w:rPr>
      </w:pPr>
      <w:r>
        <w:rPr>
          <w:rFonts w:eastAsia="SimSun" w:cs="Mangal"/>
          <w:b/>
          <w:bCs/>
          <w:color w:val="000000" w:themeColor="text1"/>
          <w:kern w:val="2"/>
          <w:lang w:eastAsia="zh-CN" w:bidi="hi-IN"/>
        </w:rPr>
        <w:t xml:space="preserve">5. Zwolnienie z obowiązku posiadania skierowania do poradni specjalistycznych w sytuacji kiedy jest ono formalnie wymagane. </w:t>
      </w:r>
      <w:r>
        <w:rPr>
          <w:rFonts w:eastAsia="SimSun" w:cs="Mangal"/>
          <w:bCs/>
          <w:color w:val="000000" w:themeColor="text1"/>
          <w:kern w:val="2"/>
          <w:lang w:eastAsia="zh-CN" w:bidi="hi-IN"/>
        </w:rPr>
        <w:t xml:space="preserve"> 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bCs/>
          <w:sz w:val="22"/>
          <w:szCs w:val="22"/>
        </w:rPr>
        <w:t>W odniesieniu do poradni funkcjonujących w  tutejszym zakładzie  obowiązek  posiadania skierowania  nie dotyczy: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sz w:val="22"/>
          <w:szCs w:val="22"/>
        </w:rPr>
        <w:t xml:space="preserve">1/ </w:t>
      </w:r>
      <w:r>
        <w:rPr>
          <w:rFonts w:ascii="Calibri" w:hAnsi="Calibri" w:asciiTheme="minorHAnsi" w:hAnsiTheme="minorHAnsi"/>
          <w:b/>
          <w:sz w:val="22"/>
          <w:szCs w:val="22"/>
        </w:rPr>
        <w:t>leczenia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/>
          <w:sz w:val="22"/>
          <w:szCs w:val="22"/>
        </w:rPr>
        <w:t>chorób wrodzonych,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stwierdzonych w wyniku badań przesiewowych finansowanych ze środków publicznych </w:t>
      </w:r>
      <w:r>
        <w:rPr>
          <w:rFonts w:ascii="Calibri" w:hAnsi="Calibri" w:asciiTheme="minorHAnsi" w:hAnsiTheme="minorHAnsi"/>
          <w:sz w:val="22"/>
          <w:szCs w:val="22"/>
        </w:rPr>
        <w:t xml:space="preserve">- w zakresie leczenia tych chorób. 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 xml:space="preserve">Wymagane jest okazanie zaświadczenia w tym zakresie.   </w:t>
      </w:r>
    </w:p>
    <w:p>
      <w:pPr>
        <w:pStyle w:val="Default"/>
        <w:rPr>
          <w:rFonts w:ascii="Calibri" w:hAnsi="Calibri" w:asciiTheme="minorHAnsi" w:hAnsiTheme="minorHAnsi"/>
          <w:strike/>
          <w:sz w:val="22"/>
          <w:szCs w:val="22"/>
          <w:u w:val="single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sz w:val="22"/>
          <w:szCs w:val="22"/>
        </w:rPr>
        <w:t xml:space="preserve">2/ inwalidów wojennych i wojskowych, osób represjonowanych, kombatantów, żołnierzy zastępczej służby wojskowej, działaczy opozycji antykomunistycznej i osób represjonowanych z powodów politycznych oraz osób deportowanych do pracy przymusowej.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Wymagane jest okazanie stosownego poświadczenia wskazującego status danej osoby.</w:t>
      </w:r>
    </w:p>
    <w:p>
      <w:pPr>
        <w:pStyle w:val="Default"/>
        <w:rPr>
          <w:rFonts w:ascii="Calibri" w:hAnsi="Calibri" w:asciiTheme="minorHAnsi" w:hAnsiTheme="minorHAnsi"/>
          <w:strike/>
          <w:sz w:val="22"/>
          <w:szCs w:val="22"/>
          <w:u w:val="single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sz w:val="22"/>
          <w:szCs w:val="22"/>
        </w:rPr>
        <w:t xml:space="preserve">3/cywilnych niewidomych ofiar działań wojennych.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Wymagane jest okazanie stosownego poświadczenia wskazującego status danej osoby.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sz w:val="22"/>
          <w:szCs w:val="22"/>
        </w:rPr>
        <w:t xml:space="preserve">4/osób zgłaszających się z powodu uzależnienia lub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współuzależnienia jeżeli leczenie w danej poradni   dotyczy tego procesu (w praktyce dotyczy to poradni zdrowia psychicznego).</w:t>
      </w:r>
    </w:p>
    <w:p>
      <w:pPr>
        <w:pStyle w:val="Default"/>
        <w:rPr>
          <w:rFonts w:ascii="Calibri" w:hAnsi="Calibri" w:asciiTheme="minorHAnsi" w:hAnsiTheme="minorHAnsi"/>
          <w:strike/>
          <w:sz w:val="22"/>
          <w:szCs w:val="22"/>
          <w:u w:val="single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5/uprawnionego żołnierza lub pracownika, </w:t>
      </w: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>w zakresie leczenia urazów lub chorób nabytych podczas wykonywania zadań poza granicami państwa, oraz uprawnionego żołnierza lub pracownika, którego ustalony procentowy uszczerbek na zdrowiu wynosi co najmniej 30%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. 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Wymagane jest okazanie stosownego poświadczenia wskazującego status danej osoby.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trike/>
          <w:sz w:val="22"/>
          <w:szCs w:val="22"/>
          <w:u w:val="single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6/weterana poszkodowanego, </w:t>
      </w:r>
      <w:r>
        <w:rPr>
          <w:rFonts w:ascii="Calibri" w:hAnsi="Calibri" w:asciiTheme="minorHAnsi" w:hAnsiTheme="minorHAnsi"/>
          <w:b/>
          <w:color w:val="auto"/>
          <w:sz w:val="22"/>
          <w:szCs w:val="22"/>
        </w:rPr>
        <w:t xml:space="preserve">w zakresie leczenia urazów lub chorób nabytych podczas wykonywania zadań poza granicami państwa, oraz dla weterana poszkodowanego, których ustalony procentowy uszczerbek na zdrowiu wynosi co najmniej 30%.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Wymagane jest okazanie stosownego poświadczenia wskazującego status danej osoby.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7/</w:t>
      </w:r>
      <w:r>
        <w:rPr>
          <w:rFonts w:ascii="Calibri" w:hAnsi="Calibri" w:asciiTheme="minorHAnsi" w:hAnsiTheme="minorHAnsi"/>
          <w:sz w:val="22"/>
          <w:szCs w:val="22"/>
        </w:rPr>
        <w:t>świadczeniobiorców do 18 roku życia, u których stwierdzono ciężkie i nieodwracalne upośledzenie albo nieuleczalną chorobę zagrażającą życiu, które powstały w prenatalnym okresie rozwoju dziecka lub w czasie porodu, na podstawie zaświadczenia lekarza podstawowej opieki zdrowotnej lub lekarza ubezpieczenia zdrowotnego, posiadającego specjalizację II stopnia lub tytuł specjalisty w dziedzinie: położnictwa i ginekologii, perinatologii, neonatologii, pediatrii, neurologii dziecięcej, kardiologii dziecięcej lub chirurgii dziecięcej. -</w:t>
      </w:r>
      <w:r>
        <w:rPr>
          <w:rFonts w:ascii="Calibri" w:hAnsi="Calibri" w:asciiTheme="minorHAnsi" w:hAnsiTheme="minorHAnsi"/>
          <w:sz w:val="22"/>
          <w:szCs w:val="22"/>
          <w:u w:val="single"/>
        </w:rPr>
        <w:t xml:space="preserve"> Wymagane jest okazanie stosownego zaświadczenia wskazującego status danej osoby.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8/świadczeniobiorców  posiadających  orzeczenie: 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/>
        </w:rPr>
        <w:t xml:space="preserve">- o znacznym stopniu niepełnosprawności; 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- o niepełnosprawności łącznie ze wskazaniami: konieczności stałej lub długotrwałej opieki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  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lub pomocy innej osoby w związku ze znacznie ograniczoną możliwością samodzielnej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  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egzystencji oraz konieczności stałego współudziału na co dzień opiekuna dziecka w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  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>procesie jego leczenia, rehabilitacji i edukacji.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      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9/ osobom, którym udzielane są świadczenia   psychologiczne, psychoterapeutyczne i środowiskowe dla dzieci i młodzieży. </w:t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spacing w:before="0" w:after="0"/>
        <w:jc w:val="both"/>
        <w:rPr>
          <w:color w:val="000000" w:themeColor="text1"/>
        </w:rPr>
      </w:pPr>
      <w:r>
        <w:rPr>
          <w:rFonts w:cs="Times New Roman"/>
          <w:b/>
          <w:color w:val="000000" w:themeColor="text1"/>
        </w:rPr>
        <w:t>6. Ustalanie terminu wizyty.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SimSun" w:cs="Mangal"/>
          <w:color w:val="000000" w:themeColor="text1"/>
          <w:kern w:val="2"/>
          <w:lang w:eastAsia="zh-CN" w:bidi="hi-IN"/>
        </w:rPr>
        <w:t>Termin wizyty uzależniony jest od możliwości przyjęcia pacjenta w aspekcie określonej dostępności  i liczby osób chcących skorzystać z wizyty.  W przypadki kiedy popyt przekracza podaż tworzona jest tzw. kolejka oczekujących na zasadach wskazanych przez NFZ.   Polega ona na realizacji świadczeń wg. listy osób oczekujących (harmonogramu przyjęć) na dane świadczenie.</w:t>
      </w:r>
    </w:p>
    <w:p>
      <w:pPr>
        <w:pStyle w:val="Normal"/>
        <w:spacing w:before="0" w:after="0"/>
        <w:jc w:val="both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>6.1. Pacjentowi wyznaczany jest termin wizyty, wraz ze wskazaniem godziny.  Dzień i godzina uzyskania świadczenia powinny być uzgodnione w miarę  możliwości z pacjentem. Wskazanie pacjentowi dnia i godziny udzielenia świadczenia powinno korelować z harmonogramem udzielania świadczeń przez danego lekarza. Pacjent, który zostaje zarejestrowany poprzez wpisanie do harmonogramu przyjęć otrzymuje informację na piśmie (np. na odpowiedniej karteczce) dotyczącą terminu wizyty.</w:t>
      </w:r>
    </w:p>
    <w:p>
      <w:pPr>
        <w:pStyle w:val="Normal"/>
        <w:spacing w:before="0" w:after="0"/>
        <w:jc w:val="both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</w:r>
    </w:p>
    <w:p>
      <w:pPr>
        <w:pStyle w:val="Normal"/>
        <w:spacing w:before="0" w:after="0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b/>
          <w:color w:val="000000" w:themeColor="text1"/>
          <w:kern w:val="2"/>
          <w:lang w:eastAsia="zh-CN" w:bidi="hi-IN"/>
        </w:rPr>
        <w:t>7. Uprawnienia do ustalenia terminu wizyty poza kolejnością.</w:t>
      </w: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Termin „poza kolejnością”  dotyczy osób zgłaszających się  do poradni  po raz pierwszy  lub  ponownie po przerwie powodującej przerwanie ciągłości leczenia.  Pacjenci będący w trakcie leczenia zgłaszają się zgodnie z ustalonym harmonogramem przyjęć  na dany dzień i daną godzinę. </w:t>
      </w:r>
    </w:p>
    <w:p>
      <w:pPr>
        <w:pStyle w:val="Normal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>Poza kolejnością do poradni specjalistycznych  przyjmowane są następujące uprawnione osoby: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1/ Zasłużeni Honorowi Dawcy Krwi,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2/ Zasłużeni Dawcy Przeszczepu,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3/ Osoby posiadające orzeczenie o znacznym stopniu niepełnosprawności,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4/ Inwalidzi wojenni i wojskowi oraz kombatanci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5/ uprawnieni żołnierze lub pracownicy - w zakresie leczenia urazów lub chorób nabytych podczas wykonywania zadań poza granicami kraju,</w:t>
      </w:r>
    </w:p>
    <w:p>
      <w:pPr>
        <w:pStyle w:val="Normal"/>
        <w:spacing w:before="0" w:after="0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 xml:space="preserve">6/ weterani poszkodowani </w:t>
      </w:r>
      <w:r>
        <w:rPr>
          <w:rFonts w:eastAsia="SimSun" w:cs="Mangal"/>
          <w:strike/>
          <w:color w:val="000000" w:themeColor="text1"/>
          <w:kern w:val="2"/>
          <w:lang w:eastAsia="zh-CN" w:bidi="hi-IN"/>
        </w:rPr>
        <w:t>-</w:t>
      </w: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w zakresie leczenia urazów i chorób nabytych podczas wykonywania zadań poza granicami państwa.</w:t>
      </w:r>
    </w:p>
    <w:p>
      <w:pPr>
        <w:pStyle w:val="Normal"/>
        <w:spacing w:before="0" w:after="0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</w:r>
    </w:p>
    <w:p>
      <w:pPr>
        <w:pStyle w:val="Normal"/>
        <w:spacing w:before="0" w:after="0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>Uwaga:  W każdym z wyżej wymienionych przypadków osoba uprawniona musi okazać stosowne upoważnienie.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rPr>
          <w:color w:val="000000" w:themeColor="text1"/>
          <w:u w:val="single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</w:t>
      </w:r>
      <w:r>
        <w:rPr>
          <w:rFonts w:eastAsia="SimSun" w:cs="Mangal"/>
          <w:color w:val="000000" w:themeColor="text1"/>
          <w:kern w:val="2"/>
          <w:lang w:eastAsia="zh-CN" w:bidi="hi-IN"/>
        </w:rPr>
        <w:t xml:space="preserve">7.1 Uprawnienie danej osoby wskazanej w pkt. 7 do ustalenia terminu wizyty poza kolejnością </w:t>
      </w:r>
      <w:r>
        <w:rPr>
          <w:rFonts w:eastAsia="SimSun" w:cs="Mangal"/>
          <w:color w:val="000000" w:themeColor="text1"/>
          <w:kern w:val="2"/>
          <w:u w:val="single"/>
          <w:lang w:eastAsia="zh-CN" w:bidi="hi-IN"/>
        </w:rPr>
        <w:t xml:space="preserve">  nie oznacza, że pacjent taki może skorzystać ze świadczenia w każdej chwili i w dowolnym czasie. Powinien być on przyjęty do poradni  w jak najkrótszym terminie, w ciągu  7 dni  – o ile pozwolą na to warunki udzielania świadczeń np. obecność danego lekarza w pracy i / lub   ilość  osób o analogicznych uprawnieniach,  które ubiegają się o uzyskanie świadczenia z pominięciem kolejki oczekujących.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b/>
          <w:b/>
          <w:bCs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>8. Ważne informacje:</w:t>
      </w:r>
    </w:p>
    <w:p>
      <w:pPr>
        <w:pStyle w:val="Normal"/>
        <w:spacing w:before="0" w:after="0"/>
        <w:jc w:val="both"/>
        <w:rPr>
          <w:rFonts w:eastAsia="SimSun" w:cs="Mangal"/>
          <w:color w:val="000000" w:themeColor="text1"/>
          <w:kern w:val="2"/>
          <w:lang w:eastAsia="zh-CN" w:bidi="hi-IN"/>
        </w:rPr>
      </w:pPr>
      <w:r>
        <w:rPr>
          <w:rFonts w:eastAsia="SimSun" w:cs="Mangal"/>
          <w:color w:val="000000" w:themeColor="text1"/>
          <w:kern w:val="2"/>
          <w:lang w:eastAsia="zh-CN" w:bidi="hi-IN"/>
        </w:rPr>
        <w:t xml:space="preserve">          </w:t>
      </w:r>
      <w:r>
        <w:rPr>
          <w:rFonts w:eastAsia="SimSun" w:cs="Mangal"/>
          <w:color w:val="000000" w:themeColor="text1"/>
          <w:kern w:val="2"/>
          <w:lang w:eastAsia="zh-CN" w:bidi="hi-IN"/>
        </w:rPr>
        <w:t>1/ Jeśli pacjent w nowym roku kontynuuje leczenie u danego specjalisty, nie jest  potrzebne nowe skierowanie (skierowanie jest ważne do ustania powodu jego wystawienia). W przypadku przerwania ciągłości leczenia powinno być dostarczone nowe skierowanie.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 xml:space="preserve">2/ W przypadkach kiedy pacjent musi być przyjęty w trybie pilnym ze względu na stan zdrowia (lekarz kierujący do poradni zaznacza to na skierowaniu) pacjent powinien być przyjęty w czasie adekwatnym do jego stanu zdrowia. 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 xml:space="preserve">3/ W sytuacji kiedy pacjent zgłasza się do poradni  wskutek nagłego zachorowania lub pogorszenia się stanu zdrowia  bez skierowania, może być przyjęty w trybie nagłym z pominięciem obowiązujących procedur. Decyzję o przyjęciu pacjenta w trybie nagłym podejmuje lekarz. 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Świadczenie udzielne w trybie nagłym  może mieć charakter wyłącznie doraźny – pacjent musi dostarczyć skierowanie do kontynuacji takiego leczenia. 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 xml:space="preserve">4/ Istnieje możliwość udzielenia świadczenia osobie spoza Polski a zamieszkałej i ubezpieczonej w kraju Unii Europejskiej  posiadającej kartę  EKUZ – takie świadczenie może mieć również charakter doraźny i po ustaniu dolegliwości, które uniemożliwiały pacjentowi powrót do kraju Unii, w którym jest ubezpieczony, pacjent musi kontynuować leczenie w tym kraju.  </w:t>
      </w:r>
    </w:p>
    <w:p>
      <w:pPr>
        <w:pStyle w:val="Normal"/>
        <w:suppressAutoHyphens w:val="true"/>
        <w:spacing w:lineRule="auto" w:line="288" w:before="0" w:after="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 xml:space="preserve">          </w:t>
      </w:r>
      <w:r>
        <w:rPr>
          <w:rFonts w:eastAsia="SimSun" w:cs="Mangal"/>
          <w:kern w:val="2"/>
          <w:lang w:eastAsia="zh-CN" w:bidi="hi-IN"/>
        </w:rPr>
        <w:t>5/ W przypadku rezygnacji przez pacjenta z ustalonego terminu wizyty lub konieczności zmiany terminu, obowiązkiem pacjenta jest powiadomienie o tym fakcie rejestracji. Umożliwi to wykorzystanie wolnego terminu przez inne osoby.</w:t>
      </w:r>
      <w:bookmarkEnd w:id="0"/>
    </w:p>
    <w:p>
      <w:pPr>
        <w:pStyle w:val="Normal"/>
        <w:suppressAutoHyphens w:val="true"/>
        <w:spacing w:lineRule="auto" w:line="288" w:before="0" w:after="140"/>
        <w:jc w:val="both"/>
        <w:textAlignment w:val="baseline"/>
        <w:rPr>
          <w:rFonts w:eastAsia="SimSun" w:cs="Mangal"/>
          <w:kern w:val="2"/>
          <w:lang w:eastAsia="zh-CN" w:bidi="hi-I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d1df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43c0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LibreOffice/6.3.4.2$Windows_X86_64 LibreOffice_project/60da17e045e08f1793c57c00ba83cdfce946d0aa</Application>
  <Pages>3</Pages>
  <Words>991</Words>
  <Characters>6700</Characters>
  <CharactersWithSpaces>7995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2020-09-24T12:43:00Z</dcterms:created>
  <dc:creator>Wojciech Korkowski</dc:creator>
  <dc:description/>
  <dc:language>pl-PL</dc:language>
  <cp:lastModifiedBy/>
  <cp:lastPrinted>2020-09-29T07:09:00Z</cp:lastPrinted>
  <dcterms:modified xsi:type="dcterms:W3CDTF">2020-09-29T10:03:42Z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